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eastAsia="宋体"/>
          <w:sz w:val="32"/>
          <w:szCs w:val="32"/>
          <w:lang w:val="en-US" w:eastAsia="zh-CN"/>
        </w:rPr>
      </w:pPr>
      <w:r>
        <w:rPr>
          <w:rStyle w:val="8"/>
          <w:rFonts w:hint="eastAsia"/>
          <w:sz w:val="32"/>
          <w:szCs w:val="32"/>
        </w:rPr>
        <w:t>2021</w:t>
      </w:r>
      <w:r>
        <w:rPr>
          <w:rStyle w:val="8"/>
          <w:rFonts w:hint="eastAsia" w:eastAsia="宋体"/>
          <w:sz w:val="32"/>
          <w:szCs w:val="32"/>
          <w:lang w:val="en-US" w:eastAsia="zh-CN"/>
        </w:rPr>
        <w:t>年度</w:t>
      </w:r>
      <w:r>
        <w:rPr>
          <w:rStyle w:val="8"/>
          <w:rFonts w:hint="eastAsia"/>
          <w:sz w:val="32"/>
          <w:szCs w:val="32"/>
        </w:rPr>
        <w:t>贵州省自然科学奖推荐公示</w:t>
      </w:r>
      <w:r>
        <w:rPr>
          <w:rStyle w:val="8"/>
          <w:rFonts w:hint="eastAsia" w:eastAsia="宋体"/>
          <w:sz w:val="32"/>
          <w:szCs w:val="32"/>
          <w:lang w:val="en-US" w:eastAsia="zh-CN"/>
        </w:rPr>
        <w:t>信息</w:t>
      </w:r>
    </w:p>
    <w:p>
      <w:pPr>
        <w:rPr>
          <w:rStyle w:val="8"/>
        </w:rPr>
      </w:pPr>
    </w:p>
    <w:p>
      <w:pPr>
        <w:numPr>
          <w:ilvl w:val="0"/>
          <w:numId w:val="1"/>
        </w:numPr>
        <w:rPr>
          <w:rStyle w:val="8"/>
        </w:rPr>
      </w:pPr>
      <w:r>
        <w:rPr>
          <w:rStyle w:val="8"/>
          <w:rFonts w:hint="eastAsia"/>
        </w:rPr>
        <w:t>申报科技奖励类型：</w:t>
      </w:r>
      <w:r>
        <w:rPr>
          <w:rStyle w:val="8"/>
        </w:rPr>
        <w:t xml:space="preserve">自然科学奖 </w:t>
      </w:r>
    </w:p>
    <w:p>
      <w:pPr>
        <w:ind w:left="420"/>
        <w:rPr>
          <w:rStyle w:val="8"/>
        </w:rPr>
      </w:pPr>
    </w:p>
    <w:p>
      <w:pPr>
        <w:numPr>
          <w:ilvl w:val="0"/>
          <w:numId w:val="1"/>
        </w:numPr>
        <w:rPr>
          <w:rStyle w:val="8"/>
        </w:rPr>
      </w:pPr>
      <w:r>
        <w:rPr>
          <w:rStyle w:val="8"/>
        </w:rPr>
        <w:t>项目名称</w:t>
      </w:r>
      <w:r>
        <w:rPr>
          <w:rStyle w:val="8"/>
          <w:rFonts w:hint="eastAsia"/>
        </w:rPr>
        <w:t>：中国西南部两栖动物代表类群分类与系统进化研究</w:t>
      </w:r>
    </w:p>
    <w:p>
      <w:pPr>
        <w:ind w:left="420"/>
        <w:rPr>
          <w:rStyle w:val="8"/>
        </w:rPr>
      </w:pPr>
    </w:p>
    <w:p>
      <w:pPr>
        <w:numPr>
          <w:ilvl w:val="0"/>
          <w:numId w:val="1"/>
        </w:numPr>
        <w:rPr>
          <w:rStyle w:val="8"/>
        </w:rPr>
      </w:pPr>
      <w:r>
        <w:rPr>
          <w:rStyle w:val="8"/>
        </w:rPr>
        <w:t>推荐单位</w:t>
      </w:r>
      <w:r>
        <w:rPr>
          <w:rStyle w:val="8"/>
          <w:rFonts w:hint="eastAsia"/>
        </w:rPr>
        <w:t>：茅台学院</w:t>
      </w:r>
    </w:p>
    <w:p>
      <w:pPr>
        <w:ind w:left="420"/>
        <w:rPr>
          <w:rStyle w:val="8"/>
        </w:rPr>
      </w:pPr>
    </w:p>
    <w:p>
      <w:pPr>
        <w:numPr>
          <w:ilvl w:val="0"/>
          <w:numId w:val="1"/>
        </w:numPr>
        <w:rPr>
          <w:rStyle w:val="8"/>
        </w:rPr>
      </w:pPr>
      <w:r>
        <w:rPr>
          <w:rStyle w:val="8"/>
        </w:rPr>
        <w:t>推荐等级</w:t>
      </w:r>
      <w:r>
        <w:rPr>
          <w:rStyle w:val="8"/>
          <w:rFonts w:hint="eastAsia"/>
        </w:rPr>
        <w:t>：二、三等奖</w:t>
      </w:r>
    </w:p>
    <w:p>
      <w:pPr>
        <w:ind w:left="420"/>
        <w:rPr>
          <w:rStyle w:val="8"/>
        </w:rPr>
      </w:pPr>
    </w:p>
    <w:p>
      <w:pPr>
        <w:numPr>
          <w:ilvl w:val="0"/>
          <w:numId w:val="1"/>
        </w:numPr>
        <w:snapToGrid w:val="0"/>
        <w:spacing w:line="360" w:lineRule="auto"/>
        <w:rPr>
          <w:rStyle w:val="8"/>
        </w:rPr>
      </w:pPr>
      <w:r>
        <w:rPr>
          <w:rStyle w:val="8"/>
        </w:rPr>
        <w:t>项目简介</w:t>
      </w:r>
      <w:r>
        <w:rPr>
          <w:rStyle w:val="8"/>
          <w:rFonts w:hint="eastAsia"/>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Fonts w:hint="eastAsia"/>
        </w:rPr>
      </w:pPr>
      <w:r>
        <w:rPr>
          <w:rStyle w:val="8"/>
        </w:rPr>
        <w:t>项目团队</w:t>
      </w:r>
      <w:r>
        <w:rPr>
          <w:rStyle w:val="8"/>
          <w:rFonts w:hint="eastAsia" w:eastAsia="宋体"/>
          <w:lang w:val="en-US" w:eastAsia="zh-CN"/>
        </w:rPr>
        <w:t>运用</w:t>
      </w:r>
      <w:bookmarkStart w:id="0" w:name="_GoBack"/>
      <w:bookmarkEnd w:id="0"/>
      <w:r>
        <w:rPr>
          <w:rStyle w:val="8"/>
          <w:rFonts w:hint="eastAsia"/>
        </w:rPr>
        <w:t>形态学、声学以及分子生物学方法对我国西部分布的两栖动物的代表类群进行了分类及系统进化研究，发表臭蛙属和角蟾属新种各1种，明确了疣螈属系统进化过程，为我国西部地区两栖动物多样性保护提供了科学依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Pr>
      </w:pPr>
      <w:r>
        <w:rPr>
          <w:rStyle w:val="8"/>
        </w:rPr>
        <w:t>本项目创新点在于：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Pr>
      </w:pPr>
      <w:r>
        <w:rPr>
          <w:rStyle w:val="8"/>
          <w:rFonts w:hint="eastAsia"/>
        </w:rPr>
        <w:t>1、运用形态学、声学和分子生物学方法对无尾目臭蛙属和角蟾属物种进行分析，发现臭蛙属（</w:t>
      </w:r>
      <w:r>
        <w:rPr>
          <w:rFonts w:ascii="Times New Roman"/>
          <w:i/>
        </w:rPr>
        <w:t>Odorrana</w:t>
      </w:r>
      <w:r>
        <w:rPr>
          <w:rStyle w:val="8"/>
          <w:rFonts w:hint="eastAsia"/>
        </w:rPr>
        <w:t>）新种1种、角蟾属（</w:t>
      </w:r>
      <w:r>
        <w:rPr>
          <w:rFonts w:ascii="Times New Roman"/>
          <w:i/>
        </w:rPr>
        <w:t>Megophrys</w:t>
      </w:r>
      <w:r>
        <w:rPr>
          <w:rStyle w:val="8"/>
          <w:rFonts w:hint="eastAsia"/>
        </w:rPr>
        <w:t>）新种1种；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Pr>
      </w:pPr>
      <w:r>
        <w:rPr>
          <w:rStyle w:val="8"/>
          <w:rFonts w:hint="eastAsia"/>
        </w:rPr>
        <w:t>2、通过广泛收集无尾目疣螈属物种标本，对疣螈属物种系统进化进行了研究，发现该属物种起源于中南半岛，并推测中新世气候变迁引发了该属的多样性，而与青藏高原阶梯式隆升有关的东亚季风的加强促进了该属在中新世至上新世期间在东南亚的辐射。第四纪冰川旋回对种内物种形成事件的影响有限，但对种内物种分化的影响较大；</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Fonts w:hint="eastAsia"/>
        </w:rPr>
      </w:pPr>
      <w:r>
        <w:rPr>
          <w:rStyle w:val="8"/>
          <w:rFonts w:hint="eastAsia"/>
        </w:rPr>
        <w:t>3、报道了乡</w:t>
      </w:r>
      <w:r>
        <w:rPr>
          <w:rStyle w:val="8"/>
          <w:rFonts w:hint="eastAsia" w:ascii="Times New Roman" w:hAnsi="Times New Roman" w:cs="Times New Roman"/>
        </w:rPr>
        <w:t>城齿蟾（</w:t>
      </w:r>
      <w:r>
        <w:rPr>
          <w:rStyle w:val="8"/>
          <w:rFonts w:ascii="Times New Roman" w:hAnsi="Times New Roman" w:cs="Times New Roman"/>
          <w:i/>
        </w:rPr>
        <w:t>Oreolalax xiangchengensis</w:t>
      </w:r>
      <w:r>
        <w:rPr>
          <w:rStyle w:val="8"/>
          <w:rFonts w:hint="eastAsia" w:ascii="Times New Roman" w:hAnsi="Times New Roman" w:cs="Times New Roman"/>
        </w:rPr>
        <w:t>）和点斑齿蟾（</w:t>
      </w:r>
      <w:r>
        <w:rPr>
          <w:rStyle w:val="8"/>
          <w:rFonts w:ascii="Times New Roman" w:hAnsi="Times New Roman" w:cs="Times New Roman"/>
          <w:i/>
        </w:rPr>
        <w:t>Oreolalax multipunctatus</w:t>
      </w:r>
      <w:r>
        <w:rPr>
          <w:rStyle w:val="8"/>
          <w:rFonts w:hint="eastAsia"/>
        </w:rPr>
        <w:t>）的线粒体基因组组成，发现点斑齿蟾线粒体基因与两栖类线粒体基因组中典型的基因组类型不同，其线粒体基因组具有tRNA-Met基因的串联重复和tRNA-Trp基因从典型的“WANCY”区域转位到tRNA-Pro基因与控制区之间的位置</w:t>
      </w:r>
      <w:r>
        <w:rPr>
          <w:rStyle w:val="8"/>
        </w:rPr>
        <w:t>；</w:t>
      </w:r>
    </w:p>
    <w:p>
      <w:pPr>
        <w:pStyle w:val="2"/>
        <w:jc w:val="left"/>
        <w:outlineLvl w:val="1"/>
        <w:rPr>
          <w:rFonts w:hint="eastAsia" w:ascii="宋体" w:hAnsi="宋体"/>
          <w:szCs w:val="24"/>
        </w:rPr>
      </w:pPr>
      <w:r>
        <w:rPr>
          <w:rFonts w:hint="eastAsia" w:ascii="宋体" w:hAnsi="宋体"/>
          <w:szCs w:val="24"/>
        </w:rPr>
        <w:t>本项目主要科学价值：</w:t>
      </w:r>
    </w:p>
    <w:p>
      <w:pPr>
        <w:pStyle w:val="2"/>
        <w:jc w:val="left"/>
        <w:outlineLvl w:val="1"/>
        <w:rPr>
          <w:rFonts w:hint="eastAsia" w:ascii="宋体" w:hAnsi="宋体"/>
          <w:szCs w:val="24"/>
        </w:rPr>
      </w:pPr>
      <w:r>
        <w:rPr>
          <w:rFonts w:hint="eastAsia" w:ascii="宋体" w:hAnsi="宋体"/>
          <w:szCs w:val="24"/>
        </w:rPr>
        <w:t>1、新种贵州臭蛙（</w:t>
      </w:r>
      <w:r>
        <w:rPr>
          <w:rFonts w:ascii="Times New Roman"/>
          <w:i/>
          <w:szCs w:val="24"/>
        </w:rPr>
        <w:t>Odorrana kweichowensis</w:t>
      </w:r>
      <w:r>
        <w:rPr>
          <w:rFonts w:hint="eastAsia" w:ascii="宋体" w:hAnsi="宋体"/>
          <w:szCs w:val="24"/>
        </w:rPr>
        <w:t>）和雷山角蟾（</w:t>
      </w:r>
      <w:r>
        <w:rPr>
          <w:rFonts w:ascii="Times New Roman"/>
          <w:i/>
          <w:szCs w:val="24"/>
        </w:rPr>
        <w:t>Megophrys</w:t>
      </w:r>
      <w:r>
        <w:rPr>
          <w:rFonts w:hint="eastAsia" w:ascii="Times New Roman"/>
          <w:i/>
          <w:szCs w:val="24"/>
        </w:rPr>
        <w:t xml:space="preserve"> </w:t>
      </w:r>
      <w:r>
        <w:rPr>
          <w:rFonts w:ascii="Times New Roman"/>
          <w:szCs w:val="24"/>
        </w:rPr>
        <w:t xml:space="preserve"> </w:t>
      </w:r>
      <w:r>
        <w:rPr>
          <w:rFonts w:ascii="Times New Roman"/>
          <w:i/>
          <w:szCs w:val="24"/>
        </w:rPr>
        <w:t xml:space="preserve"> leishanensis</w:t>
      </w:r>
      <w:r>
        <w:rPr>
          <w:rFonts w:hint="eastAsia" w:ascii="宋体" w:hAnsi="宋体"/>
          <w:szCs w:val="24"/>
        </w:rPr>
        <w:t>）的发现丰富了我国西南部地区的两栖动物多样性。此前仅依靠传统形态学对物种进行鉴定可能出现鉴定错误，而导致区域内生物多样性被低估，本研究组运用传统形态学、声学和分子生物学方法对对臭蛙属和角蟾属物种进行分析，发现广泛分布于贵州的被鉴定为花臭蛙（</w:t>
      </w:r>
      <w:r>
        <w:rPr>
          <w:rFonts w:ascii="Times New Roman"/>
          <w:i/>
          <w:szCs w:val="24"/>
        </w:rPr>
        <w:t>Odorrana schmackeri</w:t>
      </w:r>
      <w:r>
        <w:rPr>
          <w:rFonts w:hint="eastAsia" w:ascii="宋体" w:hAnsi="宋体"/>
          <w:szCs w:val="24"/>
        </w:rPr>
        <w:t>）的物种实际上应包含三个种，其中一种为新种贵州臭蛙（代表作1），分布于雷公山地区的被鉴定为小角蟾（</w:t>
      </w:r>
      <w:r>
        <w:rPr>
          <w:rFonts w:ascii="Times New Roman"/>
          <w:i/>
          <w:szCs w:val="24"/>
        </w:rPr>
        <w:t>Megophrys</w:t>
      </w:r>
      <w:r>
        <w:rPr>
          <w:rFonts w:ascii="Times New Roman"/>
          <w:szCs w:val="24"/>
        </w:rPr>
        <w:t xml:space="preserve"> </w:t>
      </w:r>
      <w:r>
        <w:rPr>
          <w:rFonts w:ascii="Times New Roman"/>
          <w:i/>
          <w:szCs w:val="24"/>
        </w:rPr>
        <w:t>minor</w:t>
      </w:r>
      <w:r>
        <w:rPr>
          <w:rFonts w:hint="eastAsia" w:ascii="宋体" w:hAnsi="宋体"/>
          <w:szCs w:val="24"/>
        </w:rPr>
        <w:t>）的物种应为新种雷山角蟾（代表作3）。西南部地区是我国两栖动物最为丰富的区域，且该区域环境复杂，因此运用多学科交叉的方法对物种进行分类研究，可能会发现更多的隐存种，为该区域生物多样性的研究工作提供重要数据和技术支撑，并为相关区域生物多样性保护提供科学依据。</w:t>
      </w:r>
    </w:p>
    <w:p>
      <w:pPr>
        <w:pStyle w:val="2"/>
        <w:jc w:val="left"/>
        <w:outlineLvl w:val="1"/>
        <w:rPr>
          <w:rFonts w:hint="eastAsia" w:ascii="宋体" w:hAnsi="宋体"/>
          <w:szCs w:val="24"/>
        </w:rPr>
      </w:pPr>
      <w:r>
        <w:rPr>
          <w:rFonts w:hint="eastAsia" w:ascii="宋体" w:hAnsi="宋体"/>
          <w:szCs w:val="24"/>
        </w:rPr>
        <w:t>2、据推测，全球气候变化和青藏高原隆升对东南亚的生物多样性产生了深远影响。为了进一步验证与这些事件的影响有关的假说，本研究组调查了分布在东南亚山脉的疣螈属的多样化模式。通过对两个线粒体基因和两个核基因的基因树和物种树分析，发现该属分为5个主要支系，并提出了几个隐存种。年代测定显示该属起源于中新世早期。在不同的物种界定情景下，通过出生-死亡似然检验进行多样性分析表明，该属在晚中新世-上新世时期的多样化率高于更新世时期。祖先地区重建表明，该属起源于中南半岛北部。相应地，假设中新世气候变迁触发了该属的多样性，并且与青藏高原逐步抬升相关的东亚季风的加强促进了该属在中新世-上新世期间的东南亚辐射。第四纪冰川旋回对该属物种形成的影响有限，但对其种内分化的影响较大。</w:t>
      </w:r>
    </w:p>
    <w:p>
      <w:pPr>
        <w:pStyle w:val="2"/>
        <w:jc w:val="left"/>
        <w:outlineLvl w:val="1"/>
        <w:rPr>
          <w:rFonts w:hint="eastAsia" w:ascii="宋体" w:hAnsi="宋体"/>
          <w:szCs w:val="24"/>
        </w:rPr>
      </w:pPr>
      <w:r>
        <w:rPr>
          <w:rFonts w:hint="eastAsia" w:ascii="宋体" w:hAnsi="宋体"/>
          <w:szCs w:val="24"/>
        </w:rPr>
        <w:t>3.测定了点斑齿蟾和乡城齿蟾的线粒体全基因组序列，为研究两栖动物的遗传多样性提供了重要基础资料。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left"/>
        <w:textAlignment w:val="baseline"/>
        <w:rPr>
          <w:rStyle w:val="8"/>
        </w:rPr>
      </w:pPr>
      <w:r>
        <w:rPr>
          <w:rStyle w:val="8"/>
        </w:rPr>
        <w:t>项目实施期间,发表论文</w:t>
      </w:r>
      <w:r>
        <w:rPr>
          <w:rStyle w:val="8"/>
          <w:rFonts w:hint="eastAsia"/>
        </w:rPr>
        <w:t>5</w:t>
      </w:r>
      <w:r>
        <w:rPr>
          <w:rStyle w:val="8"/>
        </w:rPr>
        <w:t>篇，其中SCI收录</w:t>
      </w:r>
      <w:r>
        <w:rPr>
          <w:rStyle w:val="8"/>
          <w:rFonts w:hint="eastAsia"/>
        </w:rPr>
        <w:t>5</w:t>
      </w:r>
      <w:r>
        <w:rPr>
          <w:rStyle w:val="8"/>
        </w:rPr>
        <w:t>篇。</w:t>
      </w:r>
    </w:p>
    <w:p>
      <w:pPr>
        <w:numPr>
          <w:ilvl w:val="0"/>
          <w:numId w:val="1"/>
        </w:numPr>
        <w:rPr>
          <w:rStyle w:val="8"/>
        </w:rPr>
      </w:pPr>
      <w:r>
        <w:rPr>
          <w:rStyle w:val="8"/>
        </w:rPr>
        <w:t>主要知识产权和标准规范等目录</w:t>
      </w:r>
      <w:r>
        <w:rPr>
          <w:rStyle w:val="8"/>
          <w:rFonts w:hint="eastAsia"/>
        </w:rPr>
        <w:t>：</w:t>
      </w:r>
    </w:p>
    <w:tbl>
      <w:tblPr>
        <w:tblStyle w:val="6"/>
        <w:tblW w:w="83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1907"/>
        <w:gridCol w:w="1296"/>
        <w:gridCol w:w="1230"/>
        <w:gridCol w:w="687"/>
        <w:gridCol w:w="651"/>
        <w:gridCol w:w="540"/>
        <w:gridCol w:w="975"/>
        <w:gridCol w:w="5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536"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序号</w:t>
            </w:r>
          </w:p>
        </w:tc>
        <w:tc>
          <w:tcPr>
            <w:tcW w:w="2016"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论文专著</w:t>
            </w:r>
          </w:p>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名称/刊名</w:t>
            </w:r>
          </w:p>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/作者</w:t>
            </w:r>
          </w:p>
        </w:tc>
        <w:tc>
          <w:tcPr>
            <w:tcW w:w="1098"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年卷页码</w:t>
            </w:r>
          </w:p>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（xx年xx卷</w:t>
            </w:r>
          </w:p>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xx页）</w:t>
            </w:r>
          </w:p>
        </w:tc>
        <w:tc>
          <w:tcPr>
            <w:tcW w:w="1266"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发表时间（年月 日）</w:t>
            </w:r>
          </w:p>
        </w:tc>
        <w:tc>
          <w:tcPr>
            <w:tcW w:w="740"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通讯作者（含共同）</w:t>
            </w:r>
          </w:p>
        </w:tc>
        <w:tc>
          <w:tcPr>
            <w:tcW w:w="666"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第一作者（含共同）</w:t>
            </w:r>
          </w:p>
        </w:tc>
        <w:tc>
          <w:tcPr>
            <w:tcW w:w="660"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他引总次数</w:t>
            </w:r>
          </w:p>
        </w:tc>
        <w:tc>
          <w:tcPr>
            <w:tcW w:w="602"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检索数据库</w:t>
            </w:r>
          </w:p>
        </w:tc>
        <w:tc>
          <w:tcPr>
            <w:tcW w:w="776" w:type="dxa"/>
            <w:vAlign w:val="center"/>
          </w:tcPr>
          <w:p>
            <w:pPr>
              <w:pStyle w:val="2"/>
              <w:adjustRightInd w:val="0"/>
              <w:spacing w:after="50" w:line="440" w:lineRule="exact"/>
              <w:ind w:firstLine="0" w:firstLineChars="0"/>
              <w:jc w:val="center"/>
              <w:outlineLvl w:val="1"/>
              <w:rPr>
                <w:rFonts w:ascii="宋体" w:hAnsi="宋体"/>
                <w:sz w:val="21"/>
                <w:szCs w:val="28"/>
              </w:rPr>
            </w:pPr>
            <w:r>
              <w:rPr>
                <w:rFonts w:hint="eastAsia" w:ascii="宋体" w:hAnsi="宋体"/>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1"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1</w:t>
            </w:r>
          </w:p>
        </w:tc>
        <w:tc>
          <w:tcPr>
            <w:tcW w:w="201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rPr>
              <w:t xml:space="preserve">A new species of the odorous frog genus </w:t>
            </w:r>
            <w:r>
              <w:rPr>
                <w:rFonts w:ascii="Times New Roman"/>
                <w:bCs/>
                <w:i/>
              </w:rPr>
              <w:t>Odorrana</w:t>
            </w:r>
            <w:r>
              <w:rPr>
                <w:rFonts w:ascii="Times New Roman"/>
                <w:bCs/>
              </w:rPr>
              <w:t xml:space="preserve"> (Amphibia, Anura, Ranidae) from southwestern China</w:t>
            </w:r>
            <w:r>
              <w:rPr>
                <w:rFonts w:ascii="Times New Roman"/>
                <w:sz w:val="21"/>
                <w:szCs w:val="28"/>
              </w:rPr>
              <w:t>/</w:t>
            </w:r>
            <w:r>
              <w:rPr>
                <w:rFonts w:ascii="Times New Roman"/>
                <w:bCs/>
              </w:rPr>
              <w:t xml:space="preserve"> PeerJ</w:t>
            </w:r>
            <w:r>
              <w:rPr>
                <w:rFonts w:ascii="Times New Roman"/>
                <w:sz w:val="21"/>
                <w:szCs w:val="28"/>
              </w:rPr>
              <w:t>/李仕泽，徐宁，吕敬才，江建平，魏刚，王斌</w:t>
            </w:r>
          </w:p>
        </w:tc>
        <w:tc>
          <w:tcPr>
            <w:tcW w:w="1098" w:type="dxa"/>
            <w:vAlign w:val="center"/>
          </w:tcPr>
          <w:p>
            <w:pPr>
              <w:tabs>
                <w:tab w:val="left" w:pos="33"/>
              </w:tabs>
              <w:spacing w:line="360" w:lineRule="auto"/>
              <w:ind w:left="33"/>
              <w:rPr>
                <w:bCs/>
              </w:rPr>
            </w:pPr>
            <w:r>
              <w:rPr>
                <w:bCs/>
              </w:rPr>
              <w:t>2018年第6卷e5695.</w:t>
            </w:r>
          </w:p>
          <w:p>
            <w:pPr>
              <w:pStyle w:val="2"/>
              <w:adjustRightInd w:val="0"/>
              <w:spacing w:after="50" w:line="320" w:lineRule="exact"/>
              <w:ind w:firstLine="0" w:firstLineChars="0"/>
              <w:jc w:val="center"/>
              <w:outlineLvl w:val="1"/>
              <w:rPr>
                <w:rFonts w:ascii="Times New Roman"/>
                <w:sz w:val="21"/>
                <w:szCs w:val="28"/>
              </w:rPr>
            </w:pPr>
          </w:p>
        </w:tc>
        <w:tc>
          <w:tcPr>
            <w:tcW w:w="12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2018-10-04</w:t>
            </w:r>
          </w:p>
        </w:tc>
        <w:tc>
          <w:tcPr>
            <w:tcW w:w="740" w:type="dxa"/>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魏刚，王斌</w:t>
            </w:r>
          </w:p>
        </w:tc>
        <w:tc>
          <w:tcPr>
            <w:tcW w:w="6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李仕泽</w:t>
            </w:r>
          </w:p>
        </w:tc>
        <w:tc>
          <w:tcPr>
            <w:tcW w:w="660" w:type="dxa"/>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9</w:t>
            </w:r>
          </w:p>
        </w:tc>
        <w:tc>
          <w:tcPr>
            <w:tcW w:w="602" w:type="dxa"/>
            <w:vAlign w:val="center"/>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SCI、</w:t>
            </w:r>
          </w:p>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CSCD、CNKI</w:t>
            </w:r>
          </w:p>
        </w:tc>
        <w:tc>
          <w:tcPr>
            <w:tcW w:w="77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3"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2</w:t>
            </w:r>
          </w:p>
        </w:tc>
        <w:tc>
          <w:tcPr>
            <w:tcW w:w="201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szCs w:val="21"/>
              </w:rPr>
              <w:t xml:space="preserve">Phylogenetic surveys on the newt genus </w:t>
            </w:r>
            <w:r>
              <w:rPr>
                <w:rFonts w:ascii="Times New Roman"/>
                <w:bCs/>
                <w:i/>
                <w:szCs w:val="21"/>
              </w:rPr>
              <w:t>Tylototriton</w:t>
            </w:r>
            <w:r>
              <w:rPr>
                <w:rFonts w:ascii="Times New Roman"/>
                <w:bCs/>
                <w:szCs w:val="21"/>
              </w:rPr>
              <w:t xml:space="preserve"> sensu lato (Salamandridae, Caudata) reveal cryptic diversity and novel diversification promoted by historical climatic shifts</w:t>
            </w:r>
            <w:r>
              <w:rPr>
                <w:rFonts w:ascii="Times New Roman"/>
                <w:sz w:val="21"/>
                <w:szCs w:val="28"/>
              </w:rPr>
              <w:t>/</w:t>
            </w:r>
            <w:r>
              <w:rPr>
                <w:rFonts w:ascii="Times New Roman"/>
                <w:bCs/>
              </w:rPr>
              <w:t xml:space="preserve"> PeerJ</w:t>
            </w:r>
            <w:r>
              <w:rPr>
                <w:rFonts w:ascii="Times New Roman"/>
                <w:sz w:val="21"/>
                <w:szCs w:val="28"/>
              </w:rPr>
              <w:t>/王斌，</w:t>
            </w:r>
            <w:r>
              <w:rPr>
                <w:rFonts w:ascii="Times New Roman"/>
                <w:bCs/>
                <w:szCs w:val="21"/>
              </w:rPr>
              <w:t>Kanto Nishikawa，Masafumi Matsui，Truong Quang Nguyen，谢锋，李成，Janak Raj Khatiwada，张保卫，龚大洁，莫运明，魏刚，陈晓红，沈猷慧，杨道德，熊荣川，江建平</w:t>
            </w:r>
          </w:p>
        </w:tc>
        <w:tc>
          <w:tcPr>
            <w:tcW w:w="1098"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rPr>
              <w:t>2018年第6卷e4384</w:t>
            </w:r>
          </w:p>
        </w:tc>
        <w:tc>
          <w:tcPr>
            <w:tcW w:w="12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2018-03-12</w:t>
            </w:r>
          </w:p>
        </w:tc>
        <w:tc>
          <w:tcPr>
            <w:tcW w:w="740" w:type="dxa"/>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江建平</w:t>
            </w:r>
          </w:p>
        </w:tc>
        <w:tc>
          <w:tcPr>
            <w:tcW w:w="6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王斌</w:t>
            </w:r>
          </w:p>
        </w:tc>
        <w:tc>
          <w:tcPr>
            <w:tcW w:w="660" w:type="dxa"/>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8</w:t>
            </w:r>
          </w:p>
        </w:tc>
        <w:tc>
          <w:tcPr>
            <w:tcW w:w="602" w:type="dxa"/>
            <w:vAlign w:val="center"/>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SCI、</w:t>
            </w:r>
          </w:p>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CSCD、CNKI</w:t>
            </w:r>
          </w:p>
        </w:tc>
        <w:tc>
          <w:tcPr>
            <w:tcW w:w="77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3"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3</w:t>
            </w:r>
          </w:p>
        </w:tc>
        <w:tc>
          <w:tcPr>
            <w:tcW w:w="201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rPr>
              <w:t xml:space="preserve">A new species of the Asian toad genus </w:t>
            </w:r>
            <w:r>
              <w:rPr>
                <w:rFonts w:ascii="Times New Roman"/>
                <w:bCs/>
                <w:i/>
              </w:rPr>
              <w:t>Megophrys sensu lato</w:t>
            </w:r>
            <w:r>
              <w:rPr>
                <w:rFonts w:ascii="Times New Roman"/>
                <w:bCs/>
              </w:rPr>
              <w:t xml:space="preserve"> (Amphibia: Anura: Megophryidae) from Guizhou Province, China</w:t>
            </w:r>
            <w:r>
              <w:rPr>
                <w:rFonts w:ascii="Times New Roman"/>
                <w:sz w:val="21"/>
                <w:szCs w:val="28"/>
              </w:rPr>
              <w:t>/</w:t>
            </w:r>
            <w:r>
              <w:rPr>
                <w:rFonts w:ascii="Times New Roman"/>
                <w:bCs/>
              </w:rPr>
              <w:t>Asiatic Herpetological Research</w:t>
            </w:r>
            <w:r>
              <w:rPr>
                <w:rFonts w:ascii="Times New Roman"/>
                <w:sz w:val="21"/>
                <w:szCs w:val="28"/>
              </w:rPr>
              <w:t>/李仕泽，徐宁，刘京，江建平，魏刚，王斌</w:t>
            </w:r>
          </w:p>
        </w:tc>
        <w:tc>
          <w:tcPr>
            <w:tcW w:w="1098"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2018年第</w:t>
            </w:r>
            <w:r>
              <w:rPr>
                <w:rFonts w:ascii="Times New Roman"/>
                <w:bCs/>
              </w:rPr>
              <w:t>9卷第4期: 224–239页</w:t>
            </w:r>
          </w:p>
        </w:tc>
        <w:tc>
          <w:tcPr>
            <w:tcW w:w="12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2018-12-01</w:t>
            </w:r>
          </w:p>
        </w:tc>
        <w:tc>
          <w:tcPr>
            <w:tcW w:w="740" w:type="dxa"/>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魏刚，王斌</w:t>
            </w:r>
          </w:p>
        </w:tc>
        <w:tc>
          <w:tcPr>
            <w:tcW w:w="6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李仕泽</w:t>
            </w:r>
          </w:p>
        </w:tc>
        <w:tc>
          <w:tcPr>
            <w:tcW w:w="660" w:type="dxa"/>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18</w:t>
            </w:r>
          </w:p>
        </w:tc>
        <w:tc>
          <w:tcPr>
            <w:tcW w:w="602" w:type="dxa"/>
            <w:vAlign w:val="center"/>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SCI、</w:t>
            </w:r>
          </w:p>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CSCD、CNKI</w:t>
            </w:r>
          </w:p>
        </w:tc>
        <w:tc>
          <w:tcPr>
            <w:tcW w:w="77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0"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4</w:t>
            </w:r>
          </w:p>
        </w:tc>
        <w:tc>
          <w:tcPr>
            <w:tcW w:w="201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rPr>
              <w:t xml:space="preserve">Complete mitogenome of the toad species </w:t>
            </w:r>
            <w:r>
              <w:rPr>
                <w:rFonts w:ascii="Times New Roman"/>
                <w:bCs/>
                <w:i/>
              </w:rPr>
              <w:t>Oreolalax multipunctatus</w:t>
            </w:r>
            <w:r>
              <w:rPr>
                <w:rFonts w:ascii="Times New Roman"/>
                <w:bCs/>
              </w:rPr>
              <w:t xml:space="preserve"> (Anura: Megophryidae) and phylogenetic analyses of Megophryidae</w:t>
            </w:r>
            <w:r>
              <w:rPr>
                <w:rFonts w:ascii="Times New Roman"/>
                <w:sz w:val="21"/>
                <w:szCs w:val="28"/>
              </w:rPr>
              <w:t>/</w:t>
            </w:r>
            <w:r>
              <w:rPr>
                <w:rFonts w:ascii="Times New Roman"/>
                <w:bCs/>
              </w:rPr>
              <w:t xml:space="preserve"> Conservation Genetics Resources</w:t>
            </w:r>
            <w:r>
              <w:rPr>
                <w:rFonts w:ascii="Times New Roman"/>
                <w:sz w:val="21"/>
                <w:szCs w:val="28"/>
              </w:rPr>
              <w:t>/李仕泽，高新宇，江建平，王斌</w:t>
            </w:r>
          </w:p>
        </w:tc>
        <w:tc>
          <w:tcPr>
            <w:tcW w:w="1098"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2018年第</w:t>
            </w:r>
            <w:r>
              <w:rPr>
                <w:rFonts w:ascii="Times New Roman"/>
                <w:bCs/>
              </w:rPr>
              <w:t>11卷第2期195-198页</w:t>
            </w:r>
          </w:p>
        </w:tc>
        <w:tc>
          <w:tcPr>
            <w:tcW w:w="12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2018-01-22</w:t>
            </w:r>
          </w:p>
        </w:tc>
        <w:tc>
          <w:tcPr>
            <w:tcW w:w="740" w:type="dxa"/>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王斌</w:t>
            </w:r>
          </w:p>
        </w:tc>
        <w:tc>
          <w:tcPr>
            <w:tcW w:w="6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李仕泽</w:t>
            </w:r>
          </w:p>
        </w:tc>
        <w:tc>
          <w:tcPr>
            <w:tcW w:w="660" w:type="dxa"/>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w:t>
            </w:r>
          </w:p>
        </w:tc>
        <w:tc>
          <w:tcPr>
            <w:tcW w:w="602" w:type="dxa"/>
            <w:vAlign w:val="center"/>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SCI、</w:t>
            </w:r>
          </w:p>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CSCD、CNKI</w:t>
            </w:r>
          </w:p>
        </w:tc>
        <w:tc>
          <w:tcPr>
            <w:tcW w:w="77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9"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5</w:t>
            </w:r>
          </w:p>
        </w:tc>
        <w:tc>
          <w:tcPr>
            <w:tcW w:w="201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bCs/>
              </w:rPr>
              <w:t xml:space="preserve">The complete mitochondrial genome of the toad species </w:t>
            </w:r>
            <w:r>
              <w:rPr>
                <w:rFonts w:ascii="Times New Roman"/>
                <w:bCs/>
                <w:i/>
              </w:rPr>
              <w:t>Oreolalax xiangchengensis</w:t>
            </w:r>
            <w:r>
              <w:rPr>
                <w:rFonts w:ascii="Times New Roman"/>
                <w:bCs/>
              </w:rPr>
              <w:t xml:space="preserve"> (Anura: Megophryidae) and phylogenetic analyses</w:t>
            </w:r>
            <w:r>
              <w:rPr>
                <w:rFonts w:ascii="Times New Roman"/>
                <w:sz w:val="21"/>
                <w:szCs w:val="28"/>
              </w:rPr>
              <w:t>/</w:t>
            </w:r>
            <w:r>
              <w:rPr>
                <w:rFonts w:ascii="Times New Roman"/>
                <w:bCs/>
              </w:rPr>
              <w:t xml:space="preserve"> Mitochondrial DNA Part B-Resources </w:t>
            </w:r>
            <w:r>
              <w:rPr>
                <w:rFonts w:ascii="Times New Roman"/>
                <w:sz w:val="21"/>
                <w:szCs w:val="28"/>
              </w:rPr>
              <w:t>/李仕泽，高新宇，魏刚，王斌，徐宁</w:t>
            </w:r>
          </w:p>
        </w:tc>
        <w:tc>
          <w:tcPr>
            <w:tcW w:w="1098"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2018年第</w:t>
            </w:r>
            <w:r>
              <w:rPr>
                <w:rFonts w:ascii="Times New Roman"/>
                <w:bCs/>
              </w:rPr>
              <w:t>3卷第2期1298–1299页</w:t>
            </w:r>
          </w:p>
        </w:tc>
        <w:tc>
          <w:tcPr>
            <w:tcW w:w="12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2018-10-26</w:t>
            </w:r>
          </w:p>
        </w:tc>
        <w:tc>
          <w:tcPr>
            <w:tcW w:w="740" w:type="dxa"/>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徐宁，王斌</w:t>
            </w:r>
          </w:p>
        </w:tc>
        <w:tc>
          <w:tcPr>
            <w:tcW w:w="66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李仕泽</w:t>
            </w:r>
          </w:p>
        </w:tc>
        <w:tc>
          <w:tcPr>
            <w:tcW w:w="660" w:type="dxa"/>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w:t>
            </w:r>
          </w:p>
        </w:tc>
        <w:tc>
          <w:tcPr>
            <w:tcW w:w="602" w:type="dxa"/>
            <w:vAlign w:val="center"/>
          </w:tcPr>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SCI、</w:t>
            </w:r>
          </w:p>
          <w:p>
            <w:pPr>
              <w:pStyle w:val="2"/>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CSCD、CNKI</w:t>
            </w:r>
          </w:p>
        </w:tc>
        <w:tc>
          <w:tcPr>
            <w:tcW w:w="776" w:type="dxa"/>
            <w:vAlign w:val="center"/>
          </w:tcPr>
          <w:p>
            <w:pPr>
              <w:pStyle w:val="2"/>
              <w:adjustRightInd w:val="0"/>
              <w:spacing w:after="50" w:line="320" w:lineRule="exact"/>
              <w:ind w:firstLine="0" w:firstLineChars="0"/>
              <w:jc w:val="center"/>
              <w:outlineLvl w:val="1"/>
              <w:rPr>
                <w:rFonts w:ascii="Times New Roman"/>
                <w:sz w:val="21"/>
                <w:szCs w:val="28"/>
              </w:rPr>
            </w:pPr>
            <w:r>
              <w:rPr>
                <w:rFonts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536" w:type="dxa"/>
            <w:vAlign w:val="center"/>
          </w:tcPr>
          <w:p>
            <w:pPr>
              <w:pStyle w:val="2"/>
              <w:adjustRightInd w:val="0"/>
              <w:spacing w:after="50" w:line="320" w:lineRule="exact"/>
              <w:ind w:firstLine="0" w:firstLineChars="0"/>
              <w:jc w:val="center"/>
              <w:outlineLvl w:val="1"/>
              <w:rPr>
                <w:rFonts w:ascii="宋体" w:hAnsi="宋体"/>
                <w:sz w:val="21"/>
                <w:szCs w:val="28"/>
              </w:rPr>
            </w:pPr>
          </w:p>
        </w:tc>
        <w:tc>
          <w:tcPr>
            <w:tcW w:w="5786" w:type="dxa"/>
            <w:gridSpan w:val="5"/>
            <w:vAlign w:val="center"/>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合计</w:t>
            </w:r>
          </w:p>
        </w:tc>
        <w:tc>
          <w:tcPr>
            <w:tcW w:w="660" w:type="dxa"/>
          </w:tcPr>
          <w:p>
            <w:pPr>
              <w:pStyle w:val="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37</w:t>
            </w:r>
          </w:p>
        </w:tc>
        <w:tc>
          <w:tcPr>
            <w:tcW w:w="602" w:type="dxa"/>
            <w:vAlign w:val="center"/>
          </w:tcPr>
          <w:p>
            <w:pPr>
              <w:pStyle w:val="2"/>
              <w:adjustRightInd w:val="0"/>
              <w:spacing w:after="50" w:line="320" w:lineRule="exact"/>
              <w:ind w:firstLine="0" w:firstLineChars="0"/>
              <w:jc w:val="center"/>
              <w:outlineLvl w:val="1"/>
              <w:rPr>
                <w:rFonts w:ascii="宋体" w:hAnsi="宋体"/>
                <w:sz w:val="21"/>
                <w:szCs w:val="28"/>
              </w:rPr>
            </w:pPr>
          </w:p>
        </w:tc>
        <w:tc>
          <w:tcPr>
            <w:tcW w:w="776" w:type="dxa"/>
            <w:vAlign w:val="center"/>
          </w:tcPr>
          <w:p>
            <w:pPr>
              <w:pStyle w:val="2"/>
              <w:adjustRightInd w:val="0"/>
              <w:spacing w:after="50" w:line="320" w:lineRule="exact"/>
              <w:ind w:firstLine="0" w:firstLineChars="0"/>
              <w:jc w:val="center"/>
              <w:outlineLvl w:val="1"/>
              <w:rPr>
                <w:rFonts w:ascii="宋体" w:hAnsi="宋体"/>
                <w:sz w:val="21"/>
                <w:szCs w:val="28"/>
              </w:rPr>
            </w:pPr>
          </w:p>
        </w:tc>
      </w:tr>
    </w:tbl>
    <w:p/>
    <w:p>
      <w:pPr>
        <w:numPr>
          <w:ilvl w:val="0"/>
          <w:numId w:val="1"/>
        </w:numPr>
        <w:rPr>
          <w:rStyle w:val="8"/>
        </w:rPr>
      </w:pPr>
      <w:r>
        <w:rPr>
          <w:rStyle w:val="8"/>
        </w:rPr>
        <w:t>主要完成人</w:t>
      </w:r>
      <w:r>
        <w:rPr>
          <w:rStyle w:val="8"/>
          <w:rFonts w:hint="eastAsia"/>
        </w:rPr>
        <w:t>：</w:t>
      </w:r>
      <w:r>
        <w:rPr>
          <w:rStyle w:val="8"/>
          <w:rFonts w:hint="eastAsia"/>
          <w:color w:val="000000" w:themeColor="text1"/>
          <w14:textFill>
            <w14:solidFill>
              <w14:schemeClr w14:val="tx1"/>
            </w14:solidFill>
          </w14:textFill>
        </w:rPr>
        <w:t>李仕泽；王斌；刘京；程彦林</w:t>
      </w:r>
    </w:p>
    <w:p>
      <w:pPr>
        <w:numPr>
          <w:ilvl w:val="0"/>
          <w:numId w:val="1"/>
        </w:numPr>
        <w:rPr>
          <w:rFonts w:ascii="宋体" w:hAnsi="宋体" w:eastAsia="宋体" w:cs="宋体"/>
          <w:sz w:val="24"/>
        </w:rPr>
      </w:pPr>
      <w:r>
        <w:rPr>
          <w:rStyle w:val="8"/>
        </w:rPr>
        <w:t>主要完成单位</w:t>
      </w:r>
      <w:r>
        <w:rPr>
          <w:rStyle w:val="8"/>
          <w:rFonts w:hint="eastAsia"/>
        </w:rPr>
        <w:t>：</w:t>
      </w:r>
      <w:r>
        <w:rPr>
          <w:rStyle w:val="8"/>
        </w:rPr>
        <w:t>茅台学院</w:t>
      </w:r>
      <w:r>
        <w:rPr>
          <w:rStyle w:val="8"/>
          <w:rFonts w:hint="eastAsia"/>
        </w:rPr>
        <w:t>；</w:t>
      </w:r>
      <w:r>
        <w:rPr>
          <w:rStyle w:val="8"/>
        </w:rPr>
        <w:t>中国科学院成都生物研究所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EA815"/>
    <w:multiLevelType w:val="singleLevel"/>
    <w:tmpl w:val="9BCEA81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F8"/>
    <w:rsid w:val="000651FB"/>
    <w:rsid w:val="00080975"/>
    <w:rsid w:val="000E03B5"/>
    <w:rsid w:val="001A14F8"/>
    <w:rsid w:val="001C4B80"/>
    <w:rsid w:val="00210005"/>
    <w:rsid w:val="00360949"/>
    <w:rsid w:val="003A06A1"/>
    <w:rsid w:val="00402837"/>
    <w:rsid w:val="004D316D"/>
    <w:rsid w:val="004D725C"/>
    <w:rsid w:val="00533020"/>
    <w:rsid w:val="00690337"/>
    <w:rsid w:val="00692D66"/>
    <w:rsid w:val="006A1762"/>
    <w:rsid w:val="006D0377"/>
    <w:rsid w:val="007835DB"/>
    <w:rsid w:val="007F1026"/>
    <w:rsid w:val="0080794C"/>
    <w:rsid w:val="00830946"/>
    <w:rsid w:val="00885592"/>
    <w:rsid w:val="008E6615"/>
    <w:rsid w:val="009F0A55"/>
    <w:rsid w:val="00AA06DD"/>
    <w:rsid w:val="00B92D15"/>
    <w:rsid w:val="00C56CAB"/>
    <w:rsid w:val="00C92CAD"/>
    <w:rsid w:val="00D641D0"/>
    <w:rsid w:val="00D83B4D"/>
    <w:rsid w:val="00D90467"/>
    <w:rsid w:val="00E96C54"/>
    <w:rsid w:val="00EA7716"/>
    <w:rsid w:val="00F43E8E"/>
    <w:rsid w:val="028463D0"/>
    <w:rsid w:val="16BF771D"/>
    <w:rsid w:val="206B4F21"/>
    <w:rsid w:val="2DDB11B4"/>
    <w:rsid w:val="2EB60FA1"/>
    <w:rsid w:val="36217F30"/>
    <w:rsid w:val="371D716A"/>
    <w:rsid w:val="43EE4E4C"/>
    <w:rsid w:val="4A1464B4"/>
    <w:rsid w:val="4EE86F89"/>
    <w:rsid w:val="63B920A2"/>
    <w:rsid w:val="71DA257D"/>
    <w:rsid w:val="71DE134A"/>
    <w:rsid w:val="7E094C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qFormat/>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character" w:customStyle="1" w:styleId="8">
    <w:name w:val="fontstyle01"/>
    <w:basedOn w:val="7"/>
    <w:qFormat/>
    <w:uiPriority w:val="0"/>
    <w:rPr>
      <w:rFonts w:ascii="宋体" w:hAnsi="宋体" w:eastAsia="宋体" w:cs="宋体"/>
      <w:color w:val="000000"/>
      <w:sz w:val="24"/>
      <w:szCs w:val="24"/>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 w:type="character" w:customStyle="1" w:styleId="12">
    <w:name w:val="HTML 预设格式 Char"/>
    <w:basedOn w:val="7"/>
    <w:link w:val="5"/>
    <w:qFormat/>
    <w:uiPriority w:val="99"/>
    <w:rPr>
      <w:rFonts w:ascii="宋体" w:hAnsi="宋体" w:cs="宋体"/>
      <w:sz w:val="24"/>
      <w:szCs w:val="24"/>
    </w:rPr>
  </w:style>
  <w:style w:type="character" w:customStyle="1" w:styleId="13">
    <w:name w:val="纯文本 Char"/>
    <w:basedOn w:val="7"/>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427</Words>
  <Characters>2437</Characters>
  <Lines>20</Lines>
  <Paragraphs>5</Paragraphs>
  <TotalTime>34</TotalTime>
  <ScaleCrop>false</ScaleCrop>
  <LinksUpToDate>false</LinksUpToDate>
  <CharactersWithSpaces>2859</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2020-09-24T07:22:00Z</dcterms:created>
  <dc:creator>huang</dc:creator>
  <cp:lastModifiedBy>Administrator</cp:lastModifiedBy>
  <dcterms:modified xsi:type="dcterms:W3CDTF">2021-07-07T07:34:39Z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8AD52DD1FC4C471A9118A70D5A6885CD</vt:lpwstr>
  </property>
</Properties>
</file>